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36" w:rsidRPr="00A35E36" w:rsidRDefault="00A35E36" w:rsidP="00A35E36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404648"/>
          <w:sz w:val="39"/>
          <w:szCs w:val="39"/>
        </w:rPr>
      </w:pPr>
      <w:proofErr w:type="spellStart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>Phòng</w:t>
      </w:r>
      <w:proofErr w:type="spellEnd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>ngừa</w:t>
      </w:r>
      <w:proofErr w:type="spellEnd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>cong</w:t>
      </w:r>
      <w:proofErr w:type="spellEnd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>vẹo</w:t>
      </w:r>
      <w:proofErr w:type="spellEnd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>cột</w:t>
      </w:r>
      <w:proofErr w:type="spellEnd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>sống</w:t>
      </w:r>
      <w:proofErr w:type="spellEnd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>trong</w:t>
      </w:r>
      <w:proofErr w:type="spellEnd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>trường</w:t>
      </w:r>
      <w:proofErr w:type="spellEnd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 xml:space="preserve"> </w:t>
      </w:r>
      <w:proofErr w:type="spellStart"/>
      <w:r w:rsidRPr="00A35E36">
        <w:rPr>
          <w:rFonts w:ascii="Arial" w:eastAsia="Times New Roman" w:hAnsi="Arial" w:cs="Arial"/>
          <w:b/>
          <w:bCs/>
          <w:color w:val="404648"/>
          <w:sz w:val="39"/>
          <w:szCs w:val="39"/>
        </w:rPr>
        <w:t>học</w:t>
      </w:r>
      <w:proofErr w:type="spellEnd"/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gram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Cong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ngày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càng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được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xem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bệnh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phổ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biến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tuổi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Cong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gặp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phải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bàn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ngồi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phù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thói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quen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ngồi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đúng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quá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tập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…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lâu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dần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sẽ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ảnh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hưởng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đến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cấu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trúc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xương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trẻ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dần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dần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sẽ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bị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/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lệch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sang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Bệnh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chưa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nguy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hiểm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đến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tính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nhưng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làm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giảm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mất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khả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năng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proofErr w:type="gram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lao</w:t>
      </w:r>
      <w:proofErr w:type="spellEnd"/>
      <w:proofErr w:type="gram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động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tập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hoạt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trẻ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  </w:t>
      </w:r>
    </w:p>
    <w:p w:rsid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Kết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quả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nghiên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cứu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mô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tả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cắt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ngang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Nguyễn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Đức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Sơn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sự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nhằm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mô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tả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thực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phổ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tại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bốn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tỉnh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/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thành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phố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Nội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Yên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Bái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Tĩnh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Cần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năm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2019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thấy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tỷ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lệ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ở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7,4%.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Riêng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tại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Thành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phố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Hồ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Chí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Minh, qua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báo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cáo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khám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sức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khỏe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năm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2019-2020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Trung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tâm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Kiểm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soát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Bệnh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tật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Thành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phố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thì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tỷ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lệ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2,62%.</w:t>
      </w:r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bookmarkStart w:id="0" w:name="_GoBack"/>
      <w:r>
        <w:rPr>
          <w:rFonts w:ascii="Segoe UI" w:eastAsia="Times New Roman" w:hAnsi="Segoe UI" w:cs="Segoe UI"/>
          <w:noProof/>
          <w:color w:val="000000"/>
          <w:sz w:val="24"/>
          <w:szCs w:val="24"/>
        </w:rPr>
        <w:drawing>
          <wp:inline distT="0" distB="0" distL="0" distR="0">
            <wp:extent cx="5778207" cy="3743325"/>
            <wp:effectExtent l="0" t="0" r="0" b="0"/>
            <wp:docPr id="2" name="Picture 2" descr="D:\y te\NĂM HỌC 2023-2024\hình ảnh tt\2101221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 te\NĂM HỌC 2023-2024\hình ảnh tt\21012216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74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Khái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niệm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sống</w:t>
      </w:r>
      <w:proofErr w:type="spellEnd"/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Cong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vẹo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cột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sống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là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tình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trạng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cột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sống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bị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nghiêng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lệch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vê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̀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một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phía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hoặc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bị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vê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̀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phía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trước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hay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phía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sau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́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còn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̃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được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các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đoạn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ly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́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bình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thường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vốn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có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của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nó.</w:t>
      </w:r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lastRenderedPageBreak/>
        <w:t>Nguyên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nhân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dẫn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đến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sống</w:t>
      </w:r>
      <w:proofErr w:type="spellEnd"/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proofErr w:type="gram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nhiều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nguyên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dẫn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đến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đến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90%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bị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rõ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nguyên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khoa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đã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xác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định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được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nguyên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nhân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gây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bệnh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bệnh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thần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những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bất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bẩm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đốt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loạn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dưỡng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xương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chấn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thương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, …</w:t>
      </w:r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Cong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ở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phát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sự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sai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lệch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ngồi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bàn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phù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chiều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cao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mang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cặp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sách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quá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nặng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về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tay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vai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;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chiếu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kém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bắt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buộc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phải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cúi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đầu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viết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nghề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);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xấu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đứng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ngồi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đúng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);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lao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động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thích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lứa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tuổi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, …</w:t>
      </w:r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Ngoài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ra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còn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trẻ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mắc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bệnh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liên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quan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đến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kém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ít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hoạt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động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thao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proofErr w:type="gram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suy</w:t>
      </w:r>
      <w:proofErr w:type="spellEnd"/>
      <w:proofErr w:type="gram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dưỡng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còi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xương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)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do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ngồi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đứng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quá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sớm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Các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biện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pháp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phòng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 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ngừa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 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>sống</w:t>
      </w:r>
      <w:proofErr w:type="spellEnd"/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- 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Cải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thiện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điều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kiện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vệ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trường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học</w:t>
      </w:r>
      <w:proofErr w:type="spellEnd"/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cần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trang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bị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bàn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phù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với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kích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thước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lứa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tuổi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proofErr w:type="gram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theo</w:t>
      </w:r>
      <w:proofErr w:type="spellEnd"/>
      <w:proofErr w:type="gram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liên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tịch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26/2011/TTLT-BGDĐT-BKHCN-BYT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về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hướng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dẫn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tiêu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chuẩn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bàn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Bộ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Giáo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dục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Đào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tạo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Bộ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Khoa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&amp;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nghệ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Bộ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Y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Đảm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bảo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ngồi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đúng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: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ngồi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hai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bàn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chân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được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đặt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ngay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ngắn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vững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chắc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sàn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giữa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cẳng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chân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đùi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tạo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thành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1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góc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tối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ưu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90</w:t>
      </w:r>
      <w:r w:rsidRPr="00A35E36">
        <w:rPr>
          <w:rFonts w:ascii="Segoe UI" w:eastAsia="Times New Roman" w:hAnsi="Segoe UI" w:cs="Segoe UI"/>
          <w:color w:val="000000"/>
          <w:sz w:val="18"/>
          <w:szCs w:val="18"/>
          <w:vertAlign w:val="superscript"/>
        </w:rPr>
        <w:t>0</w:t>
      </w:r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 (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dao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động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khoảng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75-105</w:t>
      </w:r>
      <w:r w:rsidRPr="00A35E36">
        <w:rPr>
          <w:rFonts w:ascii="Segoe UI" w:eastAsia="Times New Roman" w:hAnsi="Segoe UI" w:cs="Segoe UI"/>
          <w:color w:val="000000"/>
          <w:sz w:val="18"/>
          <w:szCs w:val="18"/>
          <w:vertAlign w:val="superscript"/>
        </w:rPr>
        <w:t>0</w:t>
      </w:r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),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lưng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tựa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tựa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lưng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tăng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thêm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điểm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tựa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thân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thẳng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đầu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cổ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hơi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ngả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về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phía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trước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hai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tay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ngay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ngắn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mặt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bàn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6" w:history="1">
        <w:proofErr w:type="spellStart"/>
        <w:r w:rsidRPr="00A35E36">
          <w:rPr>
            <w:rFonts w:ascii="Segoe UI" w:eastAsia="Times New Roman" w:hAnsi="Segoe UI" w:cs="Segoe UI"/>
            <w:color w:val="0098D0"/>
            <w:sz w:val="24"/>
            <w:szCs w:val="24"/>
          </w:rPr>
          <w:t>Bấm</w:t>
        </w:r>
        <w:proofErr w:type="spellEnd"/>
        <w:r w:rsidRPr="00A35E36">
          <w:rPr>
            <w:rFonts w:ascii="Segoe UI" w:eastAsia="Times New Roman" w:hAnsi="Segoe UI" w:cs="Segoe UI"/>
            <w:color w:val="0098D0"/>
            <w:sz w:val="24"/>
            <w:szCs w:val="24"/>
          </w:rPr>
          <w:t xml:space="preserve"> </w:t>
        </w:r>
        <w:proofErr w:type="spellStart"/>
        <w:r w:rsidRPr="00A35E36">
          <w:rPr>
            <w:rFonts w:ascii="Segoe UI" w:eastAsia="Times New Roman" w:hAnsi="Segoe UI" w:cs="Segoe UI"/>
            <w:color w:val="0098D0"/>
            <w:sz w:val="24"/>
            <w:szCs w:val="24"/>
          </w:rPr>
          <w:t>để</w:t>
        </w:r>
        <w:proofErr w:type="spellEnd"/>
        <w:r w:rsidRPr="00A35E36">
          <w:rPr>
            <w:rFonts w:ascii="Segoe UI" w:eastAsia="Times New Roman" w:hAnsi="Segoe UI" w:cs="Segoe UI"/>
            <w:color w:val="0098D0"/>
            <w:sz w:val="24"/>
            <w:szCs w:val="24"/>
          </w:rPr>
          <w:t xml:space="preserve"> </w:t>
        </w:r>
        <w:proofErr w:type="spellStart"/>
        <w:r w:rsidRPr="00A35E36">
          <w:rPr>
            <w:rFonts w:ascii="Segoe UI" w:eastAsia="Times New Roman" w:hAnsi="Segoe UI" w:cs="Segoe UI"/>
            <w:color w:val="0098D0"/>
            <w:sz w:val="24"/>
            <w:szCs w:val="24"/>
          </w:rPr>
          <w:t>tải</w:t>
        </w:r>
        <w:proofErr w:type="spellEnd"/>
        <w:r w:rsidRPr="00A35E36">
          <w:rPr>
            <w:rFonts w:ascii="Segoe UI" w:eastAsia="Times New Roman" w:hAnsi="Segoe UI" w:cs="Segoe UI"/>
            <w:color w:val="0098D0"/>
            <w:sz w:val="24"/>
            <w:szCs w:val="24"/>
          </w:rPr>
          <w:t xml:space="preserve"> </w:t>
        </w:r>
        <w:proofErr w:type="spellStart"/>
        <w:r w:rsidRPr="00A35E36">
          <w:rPr>
            <w:rFonts w:ascii="Segoe UI" w:eastAsia="Times New Roman" w:hAnsi="Segoe UI" w:cs="Segoe UI"/>
            <w:color w:val="0098D0"/>
            <w:sz w:val="24"/>
            <w:szCs w:val="24"/>
          </w:rPr>
          <w:t>về</w:t>
        </w:r>
        <w:proofErr w:type="spellEnd"/>
      </w:hyperlink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35E36">
        <w:rPr>
          <w:rFonts w:ascii="Segoe UI" w:eastAsia="Times New Roman" w:hAnsi="Segoe UI" w:cs="Segoe UI"/>
          <w:noProof/>
          <w:color w:val="0098D0"/>
          <w:sz w:val="24"/>
          <w:szCs w:val="24"/>
        </w:rPr>
        <mc:AlternateContent>
          <mc:Choice Requires="wps">
            <w:drawing>
              <wp:inline distT="0" distB="0" distL="0" distR="0" wp14:anchorId="666BE66A" wp14:editId="5473568F">
                <wp:extent cx="304800" cy="304800"/>
                <wp:effectExtent l="0" t="0" r="0" b="0"/>
                <wp:docPr id="1" name="AutoShape 1" descr="https://hcdc.vn/public/img/02bf8460bf0d6384849ca010eda38cf8e9dbc4c7/images/mod1/images/phong-ngua-cong-veo-cot-song-trong-truong-hoc/images/2101221628.jp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https://hcdc.vn/public/img/02bf8460bf0d6384849ca010eda38cf8e9dbc4c7/images/mod1/images/phong-ngua-cong-veo-cot-song-trong-truong-hoc/images/2101221628.jpg" href="https://hcdc.vn/public/img/02bf8460bf0d6384849ca010eda38cf8e9dbc4c7/images/mod1/images/tai-lieu-ve-y-te-hoc-duong/files/2020--YTH--BC--De-phong-tranh-can-thi-va-cong-veo-cot-song-hay-ngoi-hoc-dung-tu-th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Nơi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tập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phải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đủ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ánh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proofErr w:type="gram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mang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cặp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quá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nặng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trọng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lượng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cặp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sách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vượt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quá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10%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trọng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lượng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proofErr w:type="gram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xách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cặp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hoặc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đeo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cặp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vai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phải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đeo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cặp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hai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vai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lastRenderedPageBreak/>
        <w:t>- 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Duy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trì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chế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độ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tập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hoạt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hợp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lý</w:t>
      </w:r>
      <w:proofErr w:type="spellEnd"/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proofErr w:type="gram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đình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cần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phối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giúp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tập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hoạt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lý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thời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gian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ở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cũng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ở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không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nên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ngồi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xem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vi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quá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lâu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giữa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giờ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(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khoảng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35-45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phút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)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học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phải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thời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gian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nghỉ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ngơi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thư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giãn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tập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luyện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dục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thao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tăng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sức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khỏe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proofErr w:type="gram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Đảm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bảo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độ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dưỡng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lý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về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trị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dinh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dưỡng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của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mỗi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bữa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ăn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đặc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biệt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thực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phẩm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nhiều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canxi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vitamin D.</w:t>
      </w:r>
      <w:proofErr w:type="gramEnd"/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- 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Khám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phát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hiện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định</w:t>
      </w:r>
      <w:proofErr w:type="spellEnd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i/>
          <w:iCs/>
          <w:color w:val="000000"/>
          <w:sz w:val="24"/>
          <w:szCs w:val="24"/>
        </w:rPr>
        <w:t>kỳ</w:t>
      </w:r>
      <w:proofErr w:type="spellEnd"/>
    </w:p>
    <w:p w:rsidR="00A35E36" w:rsidRPr="00A35E36" w:rsidRDefault="00A35E36" w:rsidP="00A35E36">
      <w:pPr>
        <w:shd w:val="clear" w:color="auto" w:fill="FFFFFF"/>
        <w:spacing w:after="150" w:line="39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proofErr w:type="gram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Khám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phát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hiện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định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tại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cơ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sở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y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tế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giúp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cho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việc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phát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hiện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sớm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các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trường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hợp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cong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vẹo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cột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sống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để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thể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xử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trí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và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có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biện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pháp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phòng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ngừa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kịp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thời</w:t>
      </w:r>
      <w:proofErr w:type="spellEnd"/>
      <w:r w:rsidRPr="00A35E36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proofErr w:type="gramEnd"/>
    </w:p>
    <w:p w:rsidR="00E65C91" w:rsidRDefault="00E65C91"/>
    <w:sectPr w:rsidR="00E65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36"/>
    <w:rsid w:val="00A35E36"/>
    <w:rsid w:val="00E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cdc.vn/public/img/02bf8460bf0d6384849ca010eda38cf8e9dbc4c7/images/mod1/images/tai-lieu-ve-y-te-hoc-duong/files/2020--YTH--BC--De-phong-tranh-can-thi-va-cong-veo-cot-song-hay-ngoi-hoc-dung-tu-th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cdc.vn/public/img/02bf8460bf0d6384849ca010eda38cf8e9dbc4c7/images/mod1/images/tai-lieu-ve-y-te-hoc-duong/files/2020--YTH--BC--De-phong-tranh-can-thi-va-cong-veo-cot-song-hay-ngoi-hoc-dung-tu-the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2023-11-02T03:30:00Z</dcterms:created>
  <dcterms:modified xsi:type="dcterms:W3CDTF">2023-11-02T03:32:00Z</dcterms:modified>
</cp:coreProperties>
</file>